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D02417" w14:textId="77777777" w:rsidR="00284724" w:rsidRDefault="00284724" w:rsidP="00284724">
      <w:pPr>
        <w:spacing w:line="276" w:lineRule="auto"/>
        <w:jc w:val="center"/>
        <w:rPr>
          <w:rFonts w:ascii="Calibri" w:hAnsi="Calibri" w:cs="Calibri"/>
          <w:b/>
          <w:color w:val="0070C0"/>
          <w:sz w:val="32"/>
          <w:szCs w:val="32"/>
        </w:rPr>
      </w:pPr>
      <w:r>
        <w:rPr>
          <w:rFonts w:ascii="Calibri" w:hAnsi="Calibri" w:cs="Calibri"/>
          <w:b/>
          <w:color w:val="0070C0"/>
          <w:sz w:val="32"/>
          <w:szCs w:val="32"/>
        </w:rPr>
        <w:t>Dirección General de Concesiones</w:t>
      </w:r>
    </w:p>
    <w:p w14:paraId="710C448E" w14:textId="77777777" w:rsidR="00094CAB" w:rsidRPr="00C918CF" w:rsidRDefault="00094CAB" w:rsidP="00C918CF">
      <w:pPr>
        <w:spacing w:line="276" w:lineRule="auto"/>
        <w:jc w:val="center"/>
        <w:rPr>
          <w:rFonts w:ascii="Calibri" w:hAnsi="Calibri" w:cs="Calibri"/>
          <w:b/>
          <w:color w:val="0070C0"/>
          <w:sz w:val="32"/>
          <w:szCs w:val="32"/>
        </w:rPr>
      </w:pPr>
      <w:r>
        <w:rPr>
          <w:rFonts w:ascii="Calibri" w:hAnsi="Calibri" w:cs="Calibri"/>
          <w:b/>
          <w:color w:val="0070C0"/>
          <w:sz w:val="32"/>
          <w:szCs w:val="32"/>
        </w:rPr>
        <w:t>Art. 14.2 y 14.19 a) b)</w:t>
      </w:r>
    </w:p>
    <w:p w14:paraId="7EAEE049" w14:textId="77777777" w:rsidR="00DF0C3F" w:rsidRDefault="00DF0C3F" w:rsidP="007B6E30">
      <w:p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p w14:paraId="15DF5585" w14:textId="77777777" w:rsidR="00E6449A" w:rsidRDefault="00E6449A" w:rsidP="00E6449A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 w:rsidRPr="00BB01A4">
        <w:rPr>
          <w:rFonts w:ascii="Calibri" w:hAnsi="Calibri" w:cs="Arial"/>
          <w:bCs/>
          <w:sz w:val="22"/>
          <w:szCs w:val="22"/>
        </w:rPr>
        <w:t>Se informa a continuación, el estado de cumplimiento del</w:t>
      </w:r>
      <w:r w:rsidRPr="00BB01A4">
        <w:rPr>
          <w:rFonts w:ascii="Calibri" w:hAnsi="Calibri" w:cs="Arial"/>
          <w:b/>
          <w:sz w:val="22"/>
          <w:szCs w:val="22"/>
        </w:rPr>
        <w:t xml:space="preserve"> </w:t>
      </w:r>
      <w:r w:rsidRPr="00DD17BC">
        <w:rPr>
          <w:rFonts w:ascii="Calibri" w:hAnsi="Calibri" w:cs="Arial"/>
          <w:b/>
          <w:color w:val="0070C0"/>
          <w:sz w:val="22"/>
          <w:szCs w:val="22"/>
        </w:rPr>
        <w:t xml:space="preserve">Art. </w:t>
      </w:r>
      <w:r w:rsidR="00AD622C" w:rsidRPr="00DD17BC">
        <w:rPr>
          <w:rFonts w:ascii="Calibri" w:hAnsi="Calibri" w:cs="Arial"/>
          <w:b/>
          <w:color w:val="0070C0"/>
          <w:sz w:val="22"/>
          <w:szCs w:val="22"/>
        </w:rPr>
        <w:t>14.</w:t>
      </w:r>
      <w:r w:rsidRPr="00DD17BC">
        <w:rPr>
          <w:rFonts w:ascii="Calibri" w:hAnsi="Calibri" w:cs="Arial"/>
          <w:b/>
          <w:color w:val="0070C0"/>
          <w:sz w:val="22"/>
          <w:szCs w:val="22"/>
        </w:rPr>
        <w:t>2 de la Ley de Presupuestos</w:t>
      </w:r>
      <w:r w:rsidRPr="00BB01A4">
        <w:rPr>
          <w:rFonts w:ascii="Calibri" w:hAnsi="Calibri" w:cs="Arial"/>
          <w:b/>
          <w:sz w:val="22"/>
          <w:szCs w:val="22"/>
        </w:rPr>
        <w:t xml:space="preserve">. </w:t>
      </w:r>
      <w:r w:rsidRPr="00937146">
        <w:rPr>
          <w:rFonts w:ascii="Calibri" w:hAnsi="Calibri" w:cs="Arial"/>
          <w:bCs/>
          <w:i/>
          <w:sz w:val="22"/>
          <w:szCs w:val="22"/>
        </w:rPr>
        <w:t>“</w:t>
      </w:r>
      <w:r w:rsidR="00937146" w:rsidRPr="00937146">
        <w:rPr>
          <w:rFonts w:ascii="Calibri" w:hAnsi="Calibri" w:cs="Arial"/>
          <w:bCs/>
          <w:i/>
          <w:sz w:val="22"/>
          <w:szCs w:val="22"/>
        </w:rPr>
        <w:t>Los órganos del Estado regidos por esta ley, o los que se especifiquen en los numerales siguientes, informarán a la Comisión Especial Mixta de Presupuestos, con copia a la Biblioteca del Congreso Naciona</w:t>
      </w:r>
      <w:r w:rsidR="00937146">
        <w:rPr>
          <w:rFonts w:ascii="Calibri" w:hAnsi="Calibri" w:cs="Arial"/>
          <w:bCs/>
          <w:i/>
          <w:sz w:val="22"/>
          <w:szCs w:val="22"/>
        </w:rPr>
        <w:t xml:space="preserve">l… </w:t>
      </w:r>
      <w:r w:rsidRPr="00BB01A4">
        <w:rPr>
          <w:rFonts w:ascii="Calibri" w:hAnsi="Calibri" w:cs="Arial"/>
          <w:bCs/>
          <w:i/>
          <w:sz w:val="22"/>
          <w:szCs w:val="22"/>
        </w:rPr>
        <w:t>Copia   de   los   informes   derivados   de   estudios   e   investigaciones contratados en virtud de la asignación 22.11.001, dentro de los ciento ochenta días siguientes a la recepción de su informe final</w:t>
      </w:r>
      <w:r w:rsidRPr="00937146">
        <w:rPr>
          <w:rFonts w:ascii="Calibri" w:hAnsi="Calibri" w:cs="Arial"/>
          <w:bCs/>
          <w:i/>
          <w:sz w:val="22"/>
          <w:szCs w:val="22"/>
        </w:rPr>
        <w:t>”.</w:t>
      </w:r>
    </w:p>
    <w:p w14:paraId="33E092AE" w14:textId="77777777" w:rsidR="00BB01A4" w:rsidRPr="00BB01A4" w:rsidRDefault="00BB01A4" w:rsidP="00BB01A4">
      <w:pPr>
        <w:pStyle w:val="Prrafodelista"/>
        <w:spacing w:line="276" w:lineRule="auto"/>
        <w:ind w:left="360"/>
        <w:jc w:val="both"/>
        <w:rPr>
          <w:rFonts w:ascii="Calibri" w:hAnsi="Calibri" w:cs="Arial"/>
          <w:b/>
          <w:sz w:val="22"/>
          <w:szCs w:val="22"/>
        </w:rPr>
      </w:pPr>
    </w:p>
    <w:p w14:paraId="7CCD302E" w14:textId="6C999252" w:rsidR="00586AC4" w:rsidRDefault="00586AC4" w:rsidP="0058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Cierre 1</w:t>
      </w:r>
      <w:r w:rsidRPr="00172EB4">
        <w:rPr>
          <w:rFonts w:ascii="Calibri" w:hAnsi="Calibri" w:cs="Arial"/>
          <w:b/>
          <w:sz w:val="22"/>
          <w:szCs w:val="22"/>
          <w:vertAlign w:val="superscript"/>
        </w:rPr>
        <w:t>er</w:t>
      </w:r>
      <w:r>
        <w:rPr>
          <w:rFonts w:ascii="Calibri" w:hAnsi="Calibri" w:cs="Arial"/>
          <w:b/>
          <w:sz w:val="22"/>
          <w:szCs w:val="22"/>
        </w:rPr>
        <w:t xml:space="preserve"> Trimestre: </w:t>
      </w:r>
    </w:p>
    <w:p w14:paraId="66BE4AF2" w14:textId="77777777" w:rsidR="00586AC4" w:rsidRDefault="00586AC4" w:rsidP="0058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  <w:r w:rsidRPr="00D74AA1">
        <w:rPr>
          <w:rFonts w:ascii="Calibri" w:hAnsi="Calibri" w:cs="Arial"/>
          <w:bCs/>
          <w:sz w:val="22"/>
          <w:szCs w:val="22"/>
          <w:highlight w:val="yellow"/>
        </w:rPr>
        <w:t>No aplica.</w:t>
      </w:r>
      <w:r w:rsidRPr="00D74AA1">
        <w:rPr>
          <w:rFonts w:ascii="Calibri" w:hAnsi="Calibri" w:cs="Arial"/>
          <w:bCs/>
          <w:sz w:val="22"/>
          <w:szCs w:val="22"/>
        </w:rPr>
        <w:t xml:space="preserve"> Tanto en 2024, como en 2025, la DGC ha contratado servicios profesionales mediante la imputación 22.11.999.</w:t>
      </w:r>
    </w:p>
    <w:p w14:paraId="2D4E1808" w14:textId="77777777" w:rsidR="00586AC4" w:rsidRDefault="00586AC4" w:rsidP="0058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</w:p>
    <w:p w14:paraId="27FCB6E3" w14:textId="77777777" w:rsidR="00586AC4" w:rsidRPr="00CE52E4" w:rsidRDefault="00586AC4" w:rsidP="0058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/>
          <w:bCs/>
          <w:sz w:val="22"/>
          <w:szCs w:val="22"/>
        </w:rPr>
      </w:pPr>
      <w:r w:rsidRPr="00CE52E4">
        <w:rPr>
          <w:rFonts w:ascii="Calibri" w:hAnsi="Calibri" w:cs="Arial"/>
          <w:b/>
          <w:bCs/>
          <w:sz w:val="22"/>
          <w:szCs w:val="22"/>
        </w:rPr>
        <w:t>Cierre 2do Trimestre:</w:t>
      </w:r>
    </w:p>
    <w:p w14:paraId="2500DCFC" w14:textId="77777777" w:rsidR="00586AC4" w:rsidRDefault="00586AC4" w:rsidP="0058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  <w:r w:rsidRPr="00D74AA1">
        <w:rPr>
          <w:rFonts w:ascii="Calibri" w:hAnsi="Calibri" w:cs="Arial"/>
          <w:bCs/>
          <w:sz w:val="22"/>
          <w:szCs w:val="22"/>
          <w:highlight w:val="yellow"/>
        </w:rPr>
        <w:t>No aplica.</w:t>
      </w:r>
      <w:r w:rsidRPr="00D74AA1">
        <w:rPr>
          <w:rFonts w:ascii="Calibri" w:hAnsi="Calibri" w:cs="Arial"/>
          <w:bCs/>
          <w:sz w:val="22"/>
          <w:szCs w:val="22"/>
        </w:rPr>
        <w:t xml:space="preserve"> Tanto en 2024, como en 2025, la DGC ha contratado servicios profesionales mediante la imputación 22.11.999.</w:t>
      </w:r>
    </w:p>
    <w:p w14:paraId="2D2A8411" w14:textId="77777777" w:rsidR="00586AC4" w:rsidRDefault="00586AC4" w:rsidP="0058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</w:p>
    <w:p w14:paraId="531955D1" w14:textId="77777777" w:rsidR="00586AC4" w:rsidRPr="002D1703" w:rsidRDefault="00586AC4" w:rsidP="0058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Cierre 3</w:t>
      </w:r>
      <w:r w:rsidRPr="00172EB4">
        <w:rPr>
          <w:rFonts w:ascii="Calibri" w:hAnsi="Calibri" w:cs="Arial"/>
          <w:b/>
          <w:sz w:val="22"/>
          <w:szCs w:val="22"/>
          <w:vertAlign w:val="superscript"/>
        </w:rPr>
        <w:t>er</w:t>
      </w:r>
      <w:r>
        <w:rPr>
          <w:rFonts w:ascii="Calibri" w:hAnsi="Calibri" w:cs="Arial"/>
          <w:b/>
          <w:sz w:val="22"/>
          <w:szCs w:val="22"/>
        </w:rPr>
        <w:t xml:space="preserve"> Trimestre: </w:t>
      </w:r>
    </w:p>
    <w:p w14:paraId="0DFE245F" w14:textId="77777777" w:rsidR="00586AC4" w:rsidRPr="00D74AA1" w:rsidRDefault="00586AC4" w:rsidP="0058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  <w:r w:rsidRPr="00D74AA1">
        <w:rPr>
          <w:rFonts w:ascii="Calibri" w:hAnsi="Calibri" w:cs="Arial"/>
          <w:bCs/>
          <w:sz w:val="22"/>
          <w:szCs w:val="22"/>
          <w:highlight w:val="yellow"/>
        </w:rPr>
        <w:t>No aplica.</w:t>
      </w:r>
      <w:r w:rsidRPr="00D74AA1">
        <w:rPr>
          <w:rFonts w:ascii="Calibri" w:hAnsi="Calibri" w:cs="Arial"/>
          <w:bCs/>
          <w:sz w:val="22"/>
          <w:szCs w:val="22"/>
        </w:rPr>
        <w:t xml:space="preserve"> Tanto en 2024, como en 2025, la DGC ha contratado servicios profesionales mediante la imputación 22.11.999.</w:t>
      </w:r>
    </w:p>
    <w:p w14:paraId="11726807" w14:textId="77777777" w:rsidR="00586AC4" w:rsidRDefault="00586AC4" w:rsidP="00200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p w14:paraId="7532C0C1" w14:textId="5A4289B0" w:rsidR="0020026C" w:rsidRPr="002D1703" w:rsidRDefault="0020026C" w:rsidP="00200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Cierre </w:t>
      </w:r>
      <w:r w:rsidR="000527BD">
        <w:rPr>
          <w:rFonts w:ascii="Calibri" w:hAnsi="Calibri" w:cs="Arial"/>
          <w:b/>
          <w:sz w:val="22"/>
          <w:szCs w:val="22"/>
        </w:rPr>
        <w:t>4</w:t>
      </w:r>
      <w:r w:rsidR="000527BD">
        <w:rPr>
          <w:rFonts w:ascii="Calibri" w:hAnsi="Calibri" w:cs="Arial"/>
          <w:b/>
          <w:sz w:val="22"/>
          <w:szCs w:val="22"/>
          <w:vertAlign w:val="superscript"/>
        </w:rPr>
        <w:t>to</w:t>
      </w:r>
      <w:r>
        <w:rPr>
          <w:rFonts w:ascii="Calibri" w:hAnsi="Calibri" w:cs="Arial"/>
          <w:b/>
          <w:sz w:val="22"/>
          <w:szCs w:val="22"/>
        </w:rPr>
        <w:t xml:space="preserve"> Trimestre: </w:t>
      </w:r>
    </w:p>
    <w:p w14:paraId="62D0008E" w14:textId="77777777" w:rsidR="00284724" w:rsidRPr="00D74AA1" w:rsidRDefault="00284724" w:rsidP="002847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  <w:r w:rsidRPr="00D74AA1">
        <w:rPr>
          <w:rFonts w:ascii="Calibri" w:hAnsi="Calibri" w:cs="Arial"/>
          <w:bCs/>
          <w:sz w:val="22"/>
          <w:szCs w:val="22"/>
          <w:highlight w:val="yellow"/>
        </w:rPr>
        <w:t>No aplica.</w:t>
      </w:r>
      <w:r w:rsidRPr="00D74AA1">
        <w:rPr>
          <w:rFonts w:ascii="Calibri" w:hAnsi="Calibri" w:cs="Arial"/>
          <w:bCs/>
          <w:sz w:val="22"/>
          <w:szCs w:val="22"/>
        </w:rPr>
        <w:t xml:space="preserve"> Tanto en 2024, como en 2025, la DGC ha contratado servicios profesionales mediante la imputación 22.11.999.</w:t>
      </w:r>
    </w:p>
    <w:p w14:paraId="6C650EA8" w14:textId="77777777" w:rsidR="00172EB4" w:rsidRDefault="00172EB4" w:rsidP="007B6E30">
      <w:p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p w14:paraId="7BF03645" w14:textId="77777777" w:rsidR="00C918CF" w:rsidRDefault="00C918CF" w:rsidP="007B6E30">
      <w:p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p w14:paraId="495EDCFE" w14:textId="77777777" w:rsidR="00AE5D57" w:rsidRPr="00DD17BC" w:rsidRDefault="00C918CF" w:rsidP="00C918CF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color w:val="0070C0"/>
          <w:sz w:val="22"/>
          <w:szCs w:val="22"/>
          <w:bdr w:val="none" w:sz="0" w:space="0" w:color="auto" w:frame="1"/>
        </w:rPr>
      </w:pPr>
      <w:r w:rsidRPr="00C918CF">
        <w:rPr>
          <w:rFonts w:ascii="Calibri" w:hAnsi="Calibri" w:cs="Arial"/>
          <w:bCs/>
          <w:sz w:val="22"/>
          <w:szCs w:val="22"/>
        </w:rPr>
        <w:t xml:space="preserve">Se informa a continuación, el estado de cumplimiento </w:t>
      </w:r>
      <w:r w:rsidRPr="00DD17BC">
        <w:rPr>
          <w:rFonts w:ascii="Calibri" w:hAnsi="Calibri" w:cs="Arial"/>
          <w:sz w:val="22"/>
          <w:szCs w:val="22"/>
        </w:rPr>
        <w:t>del</w:t>
      </w:r>
      <w:r w:rsidRPr="00C918CF">
        <w:rPr>
          <w:rFonts w:ascii="Calibri" w:hAnsi="Calibri" w:cs="Arial"/>
          <w:b/>
          <w:sz w:val="22"/>
          <w:szCs w:val="22"/>
        </w:rPr>
        <w:t xml:space="preserve"> </w:t>
      </w:r>
      <w:r w:rsidRPr="00DD17BC">
        <w:rPr>
          <w:rFonts w:ascii="Calibri" w:hAnsi="Calibri" w:cs="Arial"/>
          <w:b/>
          <w:color w:val="0070C0"/>
          <w:sz w:val="22"/>
          <w:szCs w:val="22"/>
        </w:rPr>
        <w:t xml:space="preserve">Art. </w:t>
      </w:r>
      <w:r w:rsidR="00AD622C" w:rsidRPr="00DD17BC">
        <w:rPr>
          <w:rFonts w:ascii="Calibri" w:hAnsi="Calibri" w:cs="Arial"/>
          <w:b/>
          <w:color w:val="0070C0"/>
          <w:sz w:val="22"/>
          <w:szCs w:val="22"/>
        </w:rPr>
        <w:t>14.</w:t>
      </w:r>
      <w:r w:rsidR="00AE5D57" w:rsidRPr="00DD17BC">
        <w:rPr>
          <w:rFonts w:ascii="Calibri" w:hAnsi="Calibri" w:cs="Arial"/>
          <w:b/>
          <w:color w:val="0070C0"/>
          <w:sz w:val="22"/>
          <w:szCs w:val="22"/>
        </w:rPr>
        <w:t>19 a)</w:t>
      </w:r>
      <w:r w:rsidRPr="00DD17BC">
        <w:rPr>
          <w:rFonts w:ascii="Calibri" w:hAnsi="Calibri" w:cs="Arial"/>
          <w:b/>
          <w:color w:val="0070C0"/>
          <w:sz w:val="22"/>
          <w:szCs w:val="22"/>
        </w:rPr>
        <w:t xml:space="preserve"> de la Ley de Presupuestos. </w:t>
      </w:r>
    </w:p>
    <w:p w14:paraId="5750D3B7" w14:textId="77777777" w:rsidR="00C918CF" w:rsidRPr="00937146" w:rsidRDefault="00AE5D57" w:rsidP="00AD622C">
      <w:pPr>
        <w:pStyle w:val="Prrafodelista"/>
        <w:spacing w:line="276" w:lineRule="auto"/>
        <w:ind w:left="360"/>
        <w:jc w:val="both"/>
        <w:rPr>
          <w:rFonts w:ascii="Calibri" w:hAnsi="Calibri" w:cs="Arial"/>
          <w:bCs/>
          <w:i/>
          <w:sz w:val="22"/>
          <w:szCs w:val="22"/>
        </w:rPr>
      </w:pPr>
      <w:r w:rsidRPr="00937146">
        <w:rPr>
          <w:rFonts w:ascii="Calibri" w:hAnsi="Calibri" w:cs="Arial"/>
          <w:bCs/>
          <w:i/>
          <w:sz w:val="22"/>
          <w:szCs w:val="22"/>
        </w:rPr>
        <w:t>Publicar en su sitio electrónico institucional un informe trimestral que contenga, en su caso, la individualización de los proyectos beneficiados con cargo a los Subtítulos 24 y 33, nómina de beneficiarios, metodología de elección de éstos, las personas o entidades ejecutoras de los recursos, los montos asignados, la modalidad de asignación, las actividades financiadas, los objetivos y metas anuales, los montos y porcentajes de ejecución, desagregados por programa presupuestario, región y comuna según sea el caso, dentro de los treinta días siguientes al término del respectivo trimestre. En caso de contener coberturas y recursos asignados en glosa, la información deberá presentarse con dicho nivel de desagregación. Si las asignaciones a las que hace mención el párrafo precedente corresponden a transferencias a municipios, el informe respectivo también deberá contener una copia de los convenios firmados con los alcaldes, el desglose por municipio de los montos transferidos y el criterio bajo el cual éstos fueron distribuidos. La precitada información deberá ser remitida en igual plazo y con el mismo detalle a la Comisión Especial Mixta de Presupuestos”</w:t>
      </w:r>
    </w:p>
    <w:p w14:paraId="52D6EC58" w14:textId="77777777" w:rsidR="00C918CF" w:rsidRDefault="00C918CF" w:rsidP="00C918CF">
      <w:pPr>
        <w:pStyle w:val="Prrafodelista"/>
        <w:spacing w:line="276" w:lineRule="auto"/>
        <w:ind w:left="360"/>
        <w:jc w:val="both"/>
        <w:rPr>
          <w:rFonts w:ascii="Calibri" w:hAnsi="Calibri" w:cs="Arial"/>
          <w:b/>
          <w:sz w:val="22"/>
          <w:szCs w:val="22"/>
        </w:rPr>
      </w:pPr>
    </w:p>
    <w:p w14:paraId="0FE379CF" w14:textId="5F0B4189" w:rsidR="00586AC4" w:rsidRPr="00586AC4" w:rsidRDefault="00586AC4" w:rsidP="0058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Cierre 1</w:t>
      </w:r>
      <w:r w:rsidRPr="00F26150">
        <w:rPr>
          <w:rFonts w:ascii="Calibri" w:hAnsi="Calibri" w:cs="Arial"/>
          <w:b/>
          <w:sz w:val="22"/>
          <w:szCs w:val="22"/>
          <w:vertAlign w:val="superscript"/>
        </w:rPr>
        <w:t>er</w:t>
      </w:r>
      <w:r w:rsidRPr="00F26150">
        <w:rPr>
          <w:rFonts w:ascii="Calibri" w:hAnsi="Calibri" w:cs="Arial"/>
          <w:b/>
          <w:sz w:val="22"/>
          <w:szCs w:val="22"/>
        </w:rPr>
        <w:t xml:space="preserve"> trimestre:</w:t>
      </w:r>
    </w:p>
    <w:p w14:paraId="24C4BCAA" w14:textId="77777777" w:rsidR="00586AC4" w:rsidRDefault="00586AC4" w:rsidP="0058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E05C55">
        <w:rPr>
          <w:rFonts w:ascii="Calibri" w:hAnsi="Calibri" w:cs="Arial"/>
          <w:sz w:val="22"/>
          <w:szCs w:val="22"/>
          <w:highlight w:val="yellow"/>
        </w:rPr>
        <w:t>No aplica.</w:t>
      </w:r>
      <w:r>
        <w:rPr>
          <w:rFonts w:ascii="Calibri" w:hAnsi="Calibri" w:cs="Arial"/>
          <w:sz w:val="22"/>
          <w:szCs w:val="22"/>
        </w:rPr>
        <w:t xml:space="preserve"> Si bien la DGC tiene un presupuesto significativo en el subtítulo 33 (M$673.569.289 en 2025), estos recursos no son utilizados para los fines establecidos en el artículo 14.19 a), sino para reembolsar el IVA de los servicios de construcción y explotación de las concesiones.</w:t>
      </w:r>
    </w:p>
    <w:p w14:paraId="2A867DA8" w14:textId="77777777" w:rsidR="00586AC4" w:rsidRDefault="00586AC4" w:rsidP="0058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048F5CD8" w14:textId="77777777" w:rsidR="00586AC4" w:rsidRDefault="00586AC4" w:rsidP="0058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Como antecedente, mensualmente, la DGC publica en su sitio de Transparencia Activa, las transferencias realizadas a través de dicho subtítulo, indicando el mes, fecha de la transferencia, monto y persona jurídica que recibe la transferencia.</w:t>
      </w:r>
    </w:p>
    <w:p w14:paraId="0AE97089" w14:textId="77777777" w:rsidR="00586AC4" w:rsidRDefault="00586AC4" w:rsidP="0058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p w14:paraId="388EF5BC" w14:textId="77777777" w:rsidR="00586AC4" w:rsidRDefault="00586AC4" w:rsidP="0058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Cierre 2do</w:t>
      </w:r>
      <w:r w:rsidRPr="00F26150">
        <w:rPr>
          <w:rFonts w:ascii="Calibri" w:hAnsi="Calibri" w:cs="Arial"/>
          <w:b/>
          <w:sz w:val="22"/>
          <w:szCs w:val="22"/>
        </w:rPr>
        <w:t xml:space="preserve"> trimestre:</w:t>
      </w:r>
    </w:p>
    <w:p w14:paraId="5F760F74" w14:textId="77777777" w:rsidR="00586AC4" w:rsidRDefault="00586AC4" w:rsidP="0058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4F3BAD08" w14:textId="77777777" w:rsidR="00586AC4" w:rsidRDefault="00586AC4" w:rsidP="0058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E05C55">
        <w:rPr>
          <w:rFonts w:ascii="Calibri" w:hAnsi="Calibri" w:cs="Arial"/>
          <w:sz w:val="22"/>
          <w:szCs w:val="22"/>
          <w:highlight w:val="yellow"/>
        </w:rPr>
        <w:t>No aplica.</w:t>
      </w:r>
      <w:r>
        <w:rPr>
          <w:rFonts w:ascii="Calibri" w:hAnsi="Calibri" w:cs="Arial"/>
          <w:sz w:val="22"/>
          <w:szCs w:val="22"/>
        </w:rPr>
        <w:t xml:space="preserve"> Si bien la DGC tiene un presupuesto significativo en el subtítulo 33 (M$673.569.289 en 2025), estos recursos no son utilizados para los fines establecidos en el artículo 14.19 a), sino para reembolsar el IVA de los servicios de construcción y explotación de las concesiones.</w:t>
      </w:r>
    </w:p>
    <w:p w14:paraId="3F69E838" w14:textId="77777777" w:rsidR="00586AC4" w:rsidRDefault="00586AC4" w:rsidP="0058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5CFE7DCA" w14:textId="77777777" w:rsidR="00586AC4" w:rsidRDefault="00586AC4" w:rsidP="0058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Como antecedente, mensualmente, la DGC publica en su sitio de Transparencia Activa, las transferencias realizadas a través de dicho subtítulo, indicando el mes, fecha de la transferencia, monto y persona jurídica que recibe la transferencia.</w:t>
      </w:r>
    </w:p>
    <w:p w14:paraId="2A2C993B" w14:textId="77777777" w:rsidR="00586AC4" w:rsidRDefault="00586AC4" w:rsidP="0058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0BFF4707" w14:textId="77777777" w:rsidR="00586AC4" w:rsidRPr="002D1703" w:rsidRDefault="00586AC4" w:rsidP="0058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Cierre 3</w:t>
      </w:r>
      <w:r w:rsidRPr="00172EB4">
        <w:rPr>
          <w:rFonts w:ascii="Calibri" w:hAnsi="Calibri" w:cs="Arial"/>
          <w:b/>
          <w:sz w:val="22"/>
          <w:szCs w:val="22"/>
          <w:vertAlign w:val="superscript"/>
        </w:rPr>
        <w:t>er</w:t>
      </w:r>
      <w:r>
        <w:rPr>
          <w:rFonts w:ascii="Calibri" w:hAnsi="Calibri" w:cs="Arial"/>
          <w:b/>
          <w:sz w:val="22"/>
          <w:szCs w:val="22"/>
        </w:rPr>
        <w:t xml:space="preserve"> Trimestre: </w:t>
      </w:r>
    </w:p>
    <w:p w14:paraId="5B547BCF" w14:textId="77777777" w:rsidR="00586AC4" w:rsidRDefault="00586AC4" w:rsidP="0058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E05C55">
        <w:rPr>
          <w:rFonts w:ascii="Calibri" w:hAnsi="Calibri" w:cs="Arial"/>
          <w:sz w:val="22"/>
          <w:szCs w:val="22"/>
          <w:highlight w:val="yellow"/>
        </w:rPr>
        <w:t>No aplica.</w:t>
      </w:r>
      <w:r>
        <w:rPr>
          <w:rFonts w:ascii="Calibri" w:hAnsi="Calibri" w:cs="Arial"/>
          <w:sz w:val="22"/>
          <w:szCs w:val="22"/>
        </w:rPr>
        <w:t xml:space="preserve"> Si bien la DGC tiene un presupuesto significativo en el subtítulo 33 (M$673.569.289 en 2025), estos recursos no son utilizados para los fines establecidos en el artículo 14.19 a), sino para reembolsar el IVA de los servicios de construcción y explotación de las concesiones.</w:t>
      </w:r>
    </w:p>
    <w:p w14:paraId="531E8ABE" w14:textId="77777777" w:rsidR="00586AC4" w:rsidRDefault="00586AC4" w:rsidP="0058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55BD6CFE" w14:textId="77777777" w:rsidR="00586AC4" w:rsidRPr="001B7AF3" w:rsidRDefault="00586AC4" w:rsidP="0058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Como antecedente, mensualmente, la DGC publica en su sitio de Transparencia Activa, las transferencias realizadas a través de dicho subtítulo, indicando el mes, fecha de la transferencia, monto y persona jurídica que recibe la transferencia.</w:t>
      </w:r>
    </w:p>
    <w:p w14:paraId="66EB7487" w14:textId="77777777" w:rsidR="00586AC4" w:rsidRDefault="00586AC4" w:rsidP="00200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p w14:paraId="74022B21" w14:textId="14678C57" w:rsidR="0020026C" w:rsidRPr="002D1703" w:rsidRDefault="0020026C" w:rsidP="00200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Cierre </w:t>
      </w:r>
      <w:r w:rsidR="000527BD">
        <w:rPr>
          <w:rFonts w:ascii="Calibri" w:hAnsi="Calibri" w:cs="Arial"/>
          <w:b/>
          <w:sz w:val="22"/>
          <w:szCs w:val="22"/>
        </w:rPr>
        <w:t>4</w:t>
      </w:r>
      <w:r w:rsidR="000527BD">
        <w:rPr>
          <w:rFonts w:ascii="Calibri" w:hAnsi="Calibri" w:cs="Arial"/>
          <w:b/>
          <w:sz w:val="22"/>
          <w:szCs w:val="22"/>
          <w:vertAlign w:val="superscript"/>
        </w:rPr>
        <w:t>to</w:t>
      </w:r>
      <w:r>
        <w:rPr>
          <w:rFonts w:ascii="Calibri" w:hAnsi="Calibri" w:cs="Arial"/>
          <w:b/>
          <w:sz w:val="22"/>
          <w:szCs w:val="22"/>
        </w:rPr>
        <w:t xml:space="preserve"> Trimestre: </w:t>
      </w:r>
    </w:p>
    <w:p w14:paraId="7DDC7052" w14:textId="77777777" w:rsidR="00284724" w:rsidRDefault="00284724" w:rsidP="002847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E05C55">
        <w:rPr>
          <w:rFonts w:ascii="Calibri" w:hAnsi="Calibri" w:cs="Arial"/>
          <w:sz w:val="22"/>
          <w:szCs w:val="22"/>
          <w:highlight w:val="yellow"/>
        </w:rPr>
        <w:t>No aplica.</w:t>
      </w:r>
      <w:r>
        <w:rPr>
          <w:rFonts w:ascii="Calibri" w:hAnsi="Calibri" w:cs="Arial"/>
          <w:sz w:val="22"/>
          <w:szCs w:val="22"/>
        </w:rPr>
        <w:t xml:space="preserve"> Si bien la DGC tiene un presupuesto significativo en el subtítulo 33 (M$673.569.289 en 2025), estos recursos no son utilizados para los fines establecidos en el artículo 14.19 a), sino para reembolsar el IVA de los servicios de construcción y explotación de las concesiones.</w:t>
      </w:r>
    </w:p>
    <w:p w14:paraId="0CCE01F0" w14:textId="77777777" w:rsidR="00284724" w:rsidRDefault="00284724" w:rsidP="002847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123D89A0" w14:textId="18CB1396" w:rsidR="0020026C" w:rsidRPr="00284724" w:rsidRDefault="00284724" w:rsidP="00200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Como antecedente, mensualmente, la DGC publica en su sitio de Transparencia Activa, las transferencias realizadas a través de dicho subtítulo, indicando el mes, fecha de la transferencia, monto y persona jurídica que recibe la transferencia.</w:t>
      </w:r>
    </w:p>
    <w:p w14:paraId="5DD583AF" w14:textId="77777777" w:rsidR="00C918CF" w:rsidRDefault="00C918CF" w:rsidP="00C918CF">
      <w:p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p w14:paraId="6329B221" w14:textId="77777777" w:rsidR="00C918CF" w:rsidRDefault="00C918CF" w:rsidP="00C918CF">
      <w:p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p w14:paraId="51A388DC" w14:textId="77777777" w:rsidR="00E6449A" w:rsidRDefault="00E6449A" w:rsidP="00E6449A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bookmarkStart w:id="0" w:name="_Hlk149581779"/>
      <w:r w:rsidRPr="00D25868">
        <w:rPr>
          <w:rFonts w:ascii="Calibri" w:hAnsi="Calibri" w:cs="Arial"/>
          <w:bCs/>
          <w:sz w:val="22"/>
          <w:szCs w:val="22"/>
        </w:rPr>
        <w:t xml:space="preserve">Se informa a continuación, el estado de </w:t>
      </w:r>
      <w:r w:rsidRPr="00A637C3">
        <w:rPr>
          <w:rFonts w:ascii="Calibri" w:hAnsi="Calibri" w:cs="Arial"/>
          <w:bCs/>
          <w:sz w:val="22"/>
          <w:szCs w:val="22"/>
        </w:rPr>
        <w:t xml:space="preserve">cumplimiento </w:t>
      </w:r>
      <w:r w:rsidR="003D071C" w:rsidRPr="00A637C3">
        <w:rPr>
          <w:rFonts w:ascii="Calibri" w:hAnsi="Calibri" w:cs="Arial"/>
          <w:sz w:val="22"/>
          <w:szCs w:val="22"/>
        </w:rPr>
        <w:t>del</w:t>
      </w:r>
      <w:r w:rsidR="003D071C" w:rsidRPr="00A637C3">
        <w:rPr>
          <w:rFonts w:ascii="Calibri" w:hAnsi="Calibri" w:cs="Arial"/>
          <w:b/>
          <w:color w:val="0070C0"/>
          <w:sz w:val="22"/>
          <w:szCs w:val="22"/>
        </w:rPr>
        <w:t xml:space="preserve"> Art.</w:t>
      </w:r>
      <w:r w:rsidR="003D071C">
        <w:rPr>
          <w:rFonts w:ascii="Calibri" w:hAnsi="Calibri" w:cs="Arial"/>
          <w:b/>
          <w:sz w:val="22"/>
          <w:szCs w:val="22"/>
        </w:rPr>
        <w:t xml:space="preserve"> </w:t>
      </w:r>
      <w:r w:rsidR="00AD622C" w:rsidRPr="00DD17BC">
        <w:rPr>
          <w:rFonts w:ascii="Calibri" w:hAnsi="Calibri" w:cs="Arial"/>
          <w:b/>
          <w:color w:val="0070C0"/>
          <w:sz w:val="22"/>
          <w:szCs w:val="22"/>
        </w:rPr>
        <w:t xml:space="preserve">14.19 </w:t>
      </w:r>
      <w:r w:rsidRPr="00DD17BC">
        <w:rPr>
          <w:rFonts w:ascii="Calibri" w:hAnsi="Calibri" w:cs="Arial"/>
          <w:b/>
          <w:color w:val="0070C0"/>
          <w:sz w:val="22"/>
          <w:szCs w:val="22"/>
        </w:rPr>
        <w:t>b) de la Ley de Presupuestos.</w:t>
      </w:r>
      <w:r>
        <w:rPr>
          <w:rFonts w:ascii="Calibri" w:hAnsi="Calibri" w:cs="Arial"/>
          <w:b/>
          <w:sz w:val="22"/>
          <w:szCs w:val="22"/>
        </w:rPr>
        <w:t xml:space="preserve"> </w:t>
      </w:r>
      <w:r w:rsidRPr="00172EB4">
        <w:rPr>
          <w:rFonts w:ascii="Calibri" w:hAnsi="Calibri" w:cs="Arial"/>
          <w:b/>
          <w:sz w:val="22"/>
          <w:szCs w:val="22"/>
        </w:rPr>
        <w:t>“</w:t>
      </w:r>
      <w:r w:rsidRPr="00D25868">
        <w:rPr>
          <w:rStyle w:val="contentpasted3"/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Publicar en sus</w:t>
      </w:r>
      <w:r w:rsidRPr="00D25868">
        <w:rPr>
          <w:rStyle w:val="contentpasted3"/>
          <w:rFonts w:ascii="Calibri" w:hAnsi="Calibri" w:cs="Calibri"/>
          <w:i/>
          <w:iCs/>
          <w:color w:val="000000"/>
          <w:sz w:val="22"/>
          <w:szCs w:val="22"/>
          <w:bdr w:val="none" w:sz="0" w:space="0" w:color="auto" w:frame="1"/>
        </w:rPr>
        <w:t> respectivos portales de transparencia activa las actas de evaluación emitidas por las comisiones evaluadoras de licitaciones y compras públicas de bienes y servicios que realicen en el marco de la ley N° 19.886, dentro de los treinta días siguientes al término del respectivo proceso. La precitada información deberá ser remitida a la Comisión Especial Mixta de Presupuestos trimestralmente, dentro de los treinta días posteriores el término del trimestre respectivo con el mismo detalle</w:t>
      </w:r>
      <w:r w:rsidRPr="00D25868">
        <w:rPr>
          <w:rFonts w:ascii="Calibri" w:hAnsi="Calibri" w:cs="Arial"/>
          <w:sz w:val="22"/>
          <w:szCs w:val="22"/>
        </w:rPr>
        <w:t>”.</w:t>
      </w:r>
    </w:p>
    <w:bookmarkEnd w:id="0"/>
    <w:p w14:paraId="1DC0B3B1" w14:textId="77777777" w:rsidR="00586AC4" w:rsidRPr="00586AC4" w:rsidRDefault="00586AC4" w:rsidP="0058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 w:rsidRPr="00586AC4">
        <w:rPr>
          <w:rFonts w:ascii="Calibri" w:hAnsi="Calibri" w:cs="Arial"/>
          <w:b/>
          <w:sz w:val="22"/>
          <w:szCs w:val="22"/>
        </w:rPr>
        <w:t>Cierre 1</w:t>
      </w:r>
      <w:r w:rsidRPr="00586AC4">
        <w:rPr>
          <w:rFonts w:ascii="Calibri" w:hAnsi="Calibri" w:cs="Arial"/>
          <w:b/>
          <w:sz w:val="22"/>
          <w:szCs w:val="22"/>
          <w:vertAlign w:val="superscript"/>
        </w:rPr>
        <w:t>er</w:t>
      </w:r>
      <w:r w:rsidRPr="00586AC4">
        <w:rPr>
          <w:rFonts w:ascii="Calibri" w:hAnsi="Calibri" w:cs="Arial"/>
          <w:b/>
          <w:sz w:val="22"/>
          <w:szCs w:val="22"/>
        </w:rPr>
        <w:t xml:space="preserve"> Trimestre:</w:t>
      </w:r>
    </w:p>
    <w:p w14:paraId="04BA4401" w14:textId="77777777" w:rsidR="00586AC4" w:rsidRPr="00586AC4" w:rsidRDefault="00586AC4" w:rsidP="0058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  <w:r w:rsidRPr="00586AC4">
        <w:rPr>
          <w:rFonts w:ascii="Calibri" w:hAnsi="Calibri" w:cs="Arial"/>
          <w:bCs/>
          <w:sz w:val="22"/>
          <w:szCs w:val="22"/>
        </w:rPr>
        <w:t>Se encuentran publicadas conforme a la normativa en el siguiente link:</w:t>
      </w:r>
    </w:p>
    <w:p w14:paraId="78CF7E67" w14:textId="77777777" w:rsidR="00586AC4" w:rsidRPr="00586AC4" w:rsidRDefault="00586AC4" w:rsidP="0058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</w:p>
    <w:p w14:paraId="4B311D6B" w14:textId="77777777" w:rsidR="00586AC4" w:rsidRPr="00586AC4" w:rsidRDefault="00586AC4" w:rsidP="0058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  <w:hyperlink r:id="rId8" w:history="1">
        <w:r w:rsidRPr="00586AC4">
          <w:rPr>
            <w:rStyle w:val="Hipervnculo"/>
            <w:rFonts w:ascii="Calibri" w:hAnsi="Calibri" w:cs="Arial"/>
            <w:bCs/>
            <w:sz w:val="22"/>
            <w:szCs w:val="22"/>
          </w:rPr>
          <w:t>https://www.portaltransparencia.cl/PortalPdT/directorio-de-organismos-regulados/?org=AM014</w:t>
        </w:r>
      </w:hyperlink>
    </w:p>
    <w:p w14:paraId="36427035" w14:textId="77777777" w:rsidR="00586AC4" w:rsidRPr="00586AC4" w:rsidRDefault="00586AC4" w:rsidP="0058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</w:p>
    <w:p w14:paraId="2DD76F08" w14:textId="77777777" w:rsidR="00586AC4" w:rsidRPr="00586AC4" w:rsidRDefault="00586AC4" w:rsidP="0058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  <w:r w:rsidRPr="00586AC4">
        <w:rPr>
          <w:rFonts w:ascii="Calibri" w:hAnsi="Calibri" w:cs="Arial"/>
          <w:bCs/>
          <w:sz w:val="22"/>
          <w:szCs w:val="22"/>
        </w:rPr>
        <w:t>Durante el 2025, se ha publicado un acta, correspondiente a la contratación del Servicio de Desarrollo e Implementación del Sistema Integrado de Gestión de Proyectos Concesionados Fase I.</w:t>
      </w:r>
    </w:p>
    <w:p w14:paraId="3CCB4E36" w14:textId="77777777" w:rsidR="00586AC4" w:rsidRPr="00586AC4" w:rsidRDefault="00586AC4" w:rsidP="0058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</w:p>
    <w:p w14:paraId="5E845252" w14:textId="77777777" w:rsidR="00586AC4" w:rsidRPr="00586AC4" w:rsidRDefault="00586AC4" w:rsidP="0058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/>
          <w:bCs/>
          <w:sz w:val="22"/>
          <w:szCs w:val="22"/>
        </w:rPr>
      </w:pPr>
      <w:r w:rsidRPr="00586AC4">
        <w:rPr>
          <w:rFonts w:ascii="Calibri" w:hAnsi="Calibri" w:cs="Arial"/>
          <w:b/>
          <w:bCs/>
          <w:sz w:val="22"/>
          <w:szCs w:val="22"/>
        </w:rPr>
        <w:t>Cierre 2do Trimestre:</w:t>
      </w:r>
    </w:p>
    <w:p w14:paraId="1556F26D" w14:textId="77777777" w:rsidR="00586AC4" w:rsidRPr="00586AC4" w:rsidRDefault="00586AC4" w:rsidP="0058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  <w:r w:rsidRPr="00586AC4">
        <w:rPr>
          <w:rFonts w:ascii="Calibri" w:hAnsi="Calibri" w:cs="Arial"/>
          <w:bCs/>
          <w:sz w:val="22"/>
          <w:szCs w:val="22"/>
        </w:rPr>
        <w:t>Se encuentran publicadas conforme a la normativa en el siguiente link:</w:t>
      </w:r>
    </w:p>
    <w:p w14:paraId="439F02E2" w14:textId="77777777" w:rsidR="00586AC4" w:rsidRPr="00586AC4" w:rsidRDefault="00586AC4" w:rsidP="0058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</w:p>
    <w:p w14:paraId="463E7649" w14:textId="77777777" w:rsidR="00586AC4" w:rsidRPr="00586AC4" w:rsidRDefault="00586AC4" w:rsidP="0058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  <w:hyperlink r:id="rId9" w:history="1">
        <w:r w:rsidRPr="00586AC4">
          <w:rPr>
            <w:rStyle w:val="Hipervnculo"/>
            <w:rFonts w:ascii="Calibri" w:hAnsi="Calibri" w:cs="Arial"/>
            <w:bCs/>
            <w:sz w:val="22"/>
            <w:szCs w:val="22"/>
          </w:rPr>
          <w:t>https://www.portaltransparencia.cl/PortalPdT/directorio-de-organismos-regulados/?org=AM014</w:t>
        </w:r>
      </w:hyperlink>
    </w:p>
    <w:p w14:paraId="654CB4B8" w14:textId="77777777" w:rsidR="00586AC4" w:rsidRPr="00586AC4" w:rsidRDefault="00586AC4" w:rsidP="0058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  <w:bookmarkStart w:id="1" w:name="_GoBack"/>
      <w:bookmarkEnd w:id="1"/>
    </w:p>
    <w:p w14:paraId="4ABDEDC1" w14:textId="77777777" w:rsidR="00586AC4" w:rsidRPr="00586AC4" w:rsidRDefault="00586AC4" w:rsidP="0058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  <w:r w:rsidRPr="00586AC4">
        <w:rPr>
          <w:rFonts w:ascii="Calibri" w:hAnsi="Calibri" w:cs="Arial"/>
          <w:bCs/>
          <w:sz w:val="22"/>
          <w:szCs w:val="22"/>
        </w:rPr>
        <w:t>Durante el 2025, se ha publicado un acta, correspondiente a la contratación del Servicio de Desarrollo e Implementación del Sistema Integrado de Gestión de Proyectos Concesionados Fase I.</w:t>
      </w:r>
    </w:p>
    <w:p w14:paraId="7356E911" w14:textId="77777777" w:rsidR="00586AC4" w:rsidRPr="00586AC4" w:rsidRDefault="00586AC4" w:rsidP="0058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</w:p>
    <w:p w14:paraId="683816DA" w14:textId="77777777" w:rsidR="00586AC4" w:rsidRPr="00586AC4" w:rsidRDefault="00586AC4" w:rsidP="0058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586AC4">
        <w:rPr>
          <w:rFonts w:ascii="Calibri" w:hAnsi="Calibri" w:cs="Arial"/>
          <w:b/>
          <w:sz w:val="22"/>
          <w:szCs w:val="22"/>
        </w:rPr>
        <w:t>Cierre 3</w:t>
      </w:r>
      <w:r w:rsidRPr="00586AC4">
        <w:rPr>
          <w:rFonts w:ascii="Calibri" w:hAnsi="Calibri" w:cs="Arial"/>
          <w:b/>
          <w:sz w:val="22"/>
          <w:szCs w:val="22"/>
          <w:vertAlign w:val="superscript"/>
        </w:rPr>
        <w:t>er</w:t>
      </w:r>
      <w:r w:rsidRPr="00586AC4">
        <w:rPr>
          <w:rFonts w:ascii="Calibri" w:hAnsi="Calibri" w:cs="Arial"/>
          <w:b/>
          <w:sz w:val="22"/>
          <w:szCs w:val="22"/>
        </w:rPr>
        <w:t xml:space="preserve"> Trimestre: </w:t>
      </w:r>
    </w:p>
    <w:p w14:paraId="4AD195C4" w14:textId="77777777" w:rsidR="00586AC4" w:rsidRPr="00586AC4" w:rsidRDefault="00586AC4" w:rsidP="0058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  <w:r w:rsidRPr="00586AC4">
        <w:rPr>
          <w:rFonts w:ascii="Calibri" w:hAnsi="Calibri" w:cs="Arial"/>
          <w:bCs/>
          <w:sz w:val="22"/>
          <w:szCs w:val="22"/>
        </w:rPr>
        <w:t>Se encuentran publicadas conforme a la normativa en el siguiente link:</w:t>
      </w:r>
    </w:p>
    <w:p w14:paraId="656B619C" w14:textId="77777777" w:rsidR="00586AC4" w:rsidRPr="00586AC4" w:rsidRDefault="00586AC4" w:rsidP="0058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</w:p>
    <w:p w14:paraId="638C7C9B" w14:textId="77777777" w:rsidR="00586AC4" w:rsidRPr="00586AC4" w:rsidRDefault="00586AC4" w:rsidP="0058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  <w:hyperlink r:id="rId10" w:history="1">
        <w:r w:rsidRPr="00586AC4">
          <w:rPr>
            <w:rStyle w:val="Hipervnculo"/>
            <w:rFonts w:ascii="Calibri" w:hAnsi="Calibri" w:cs="Arial"/>
            <w:bCs/>
            <w:sz w:val="22"/>
            <w:szCs w:val="22"/>
          </w:rPr>
          <w:t>https://www.portaltransparencia.cl/PortalPdT/directorio-de-organismos-regulados/?org=AM014</w:t>
        </w:r>
      </w:hyperlink>
    </w:p>
    <w:p w14:paraId="37CB3A4C" w14:textId="77777777" w:rsidR="00586AC4" w:rsidRPr="00586AC4" w:rsidRDefault="00586AC4" w:rsidP="00586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</w:p>
    <w:p w14:paraId="036F0F9C" w14:textId="37B2BFBC" w:rsidR="0020026C" w:rsidRPr="002D1703" w:rsidRDefault="0020026C" w:rsidP="00200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Cierre </w:t>
      </w:r>
      <w:r w:rsidR="000527BD">
        <w:rPr>
          <w:rFonts w:ascii="Calibri" w:hAnsi="Calibri" w:cs="Arial"/>
          <w:b/>
          <w:sz w:val="22"/>
          <w:szCs w:val="22"/>
        </w:rPr>
        <w:t>4</w:t>
      </w:r>
      <w:r w:rsidR="000527BD">
        <w:rPr>
          <w:rFonts w:ascii="Calibri" w:hAnsi="Calibri" w:cs="Arial"/>
          <w:b/>
          <w:sz w:val="22"/>
          <w:szCs w:val="22"/>
          <w:vertAlign w:val="superscript"/>
        </w:rPr>
        <w:t>to</w:t>
      </w:r>
      <w:r>
        <w:rPr>
          <w:rFonts w:ascii="Calibri" w:hAnsi="Calibri" w:cs="Arial"/>
          <w:b/>
          <w:sz w:val="22"/>
          <w:szCs w:val="22"/>
        </w:rPr>
        <w:t xml:space="preserve"> Trimestre: </w:t>
      </w:r>
    </w:p>
    <w:p w14:paraId="7444D8B3" w14:textId="77777777" w:rsidR="00284724" w:rsidRPr="00D74AA1" w:rsidRDefault="00284724" w:rsidP="002847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  <w:r w:rsidRPr="00D74AA1">
        <w:rPr>
          <w:rFonts w:ascii="Calibri" w:hAnsi="Calibri" w:cs="Arial"/>
          <w:bCs/>
          <w:sz w:val="22"/>
          <w:szCs w:val="22"/>
        </w:rPr>
        <w:t>Se encuentran publicadas conforme a la normativa en el siguiente link:</w:t>
      </w:r>
    </w:p>
    <w:p w14:paraId="103A3DF8" w14:textId="77777777" w:rsidR="00284724" w:rsidRPr="00D74AA1" w:rsidRDefault="00284724" w:rsidP="002847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</w:p>
    <w:p w14:paraId="56B67550" w14:textId="5F3435E6" w:rsidR="0020026C" w:rsidRPr="00284724" w:rsidRDefault="00586AC4" w:rsidP="00200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  <w:hyperlink r:id="rId11" w:history="1">
        <w:r w:rsidR="00284724" w:rsidRPr="00D74AA1">
          <w:rPr>
            <w:rStyle w:val="Hipervnculo"/>
            <w:rFonts w:ascii="Calibri" w:hAnsi="Calibri" w:cs="Arial"/>
            <w:bCs/>
            <w:sz w:val="22"/>
            <w:szCs w:val="22"/>
          </w:rPr>
          <w:t>https://www.portaltransparencia.cl/PortalPdT/directorio-de-organismos-regulados/?org=AM014</w:t>
        </w:r>
      </w:hyperlink>
    </w:p>
    <w:p w14:paraId="30BF6D42" w14:textId="77777777" w:rsidR="00937146" w:rsidRPr="00436945" w:rsidRDefault="00937146" w:rsidP="00200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sectPr w:rsidR="00937146" w:rsidRPr="00436945" w:rsidSect="0093714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8720" w:code="14"/>
      <w:pgMar w:top="1134" w:right="1701" w:bottom="15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096BDF" w14:textId="77777777" w:rsidR="00486E2B" w:rsidRDefault="00486E2B" w:rsidP="001B0EAE">
      <w:r>
        <w:separator/>
      </w:r>
    </w:p>
  </w:endnote>
  <w:endnote w:type="continuationSeparator" w:id="0">
    <w:p w14:paraId="34270973" w14:textId="77777777" w:rsidR="00486E2B" w:rsidRDefault="00486E2B" w:rsidP="001B0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65CA29" w14:textId="77777777" w:rsidR="00172EB4" w:rsidRDefault="00172EB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9B37E" w14:textId="77777777" w:rsidR="00172EB4" w:rsidRDefault="00172EB4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C49241" w14:textId="77777777" w:rsidR="00172EB4" w:rsidRDefault="00172EB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ED5446" w14:textId="77777777" w:rsidR="00486E2B" w:rsidRDefault="00486E2B" w:rsidP="001B0EAE">
      <w:r>
        <w:separator/>
      </w:r>
    </w:p>
  </w:footnote>
  <w:footnote w:type="continuationSeparator" w:id="0">
    <w:p w14:paraId="6A4A609A" w14:textId="77777777" w:rsidR="00486E2B" w:rsidRDefault="00486E2B" w:rsidP="001B0E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51B0C5" w14:textId="77777777" w:rsidR="00172EB4" w:rsidRDefault="00172EB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5AC80" w14:textId="77777777" w:rsidR="00172EB4" w:rsidRDefault="00172EB4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085FD9" w14:textId="77777777" w:rsidR="00172EB4" w:rsidRDefault="00172EB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BD5CAD"/>
    <w:multiLevelType w:val="hybridMultilevel"/>
    <w:tmpl w:val="50043DBC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E30"/>
    <w:rsid w:val="00026878"/>
    <w:rsid w:val="00034642"/>
    <w:rsid w:val="000527BD"/>
    <w:rsid w:val="0006788D"/>
    <w:rsid w:val="00087748"/>
    <w:rsid w:val="00094CAB"/>
    <w:rsid w:val="000B1DD1"/>
    <w:rsid w:val="000D61E1"/>
    <w:rsid w:val="0010282C"/>
    <w:rsid w:val="001635B9"/>
    <w:rsid w:val="00172EB4"/>
    <w:rsid w:val="00182F41"/>
    <w:rsid w:val="001A2889"/>
    <w:rsid w:val="001B0EAE"/>
    <w:rsid w:val="0020026C"/>
    <w:rsid w:val="002056EE"/>
    <w:rsid w:val="00213410"/>
    <w:rsid w:val="00253248"/>
    <w:rsid w:val="00264962"/>
    <w:rsid w:val="00284724"/>
    <w:rsid w:val="002D1703"/>
    <w:rsid w:val="002F1562"/>
    <w:rsid w:val="00310CA5"/>
    <w:rsid w:val="003119BF"/>
    <w:rsid w:val="00337E55"/>
    <w:rsid w:val="00354D51"/>
    <w:rsid w:val="00380618"/>
    <w:rsid w:val="00387740"/>
    <w:rsid w:val="00395147"/>
    <w:rsid w:val="003C2BCD"/>
    <w:rsid w:val="003C7A5E"/>
    <w:rsid w:val="003D071C"/>
    <w:rsid w:val="0041108D"/>
    <w:rsid w:val="0043435E"/>
    <w:rsid w:val="00436945"/>
    <w:rsid w:val="004504B4"/>
    <w:rsid w:val="00456EC4"/>
    <w:rsid w:val="00485D8F"/>
    <w:rsid w:val="00486E2B"/>
    <w:rsid w:val="005156B1"/>
    <w:rsid w:val="00574E30"/>
    <w:rsid w:val="00586AA6"/>
    <w:rsid w:val="00586AC4"/>
    <w:rsid w:val="005C2CFD"/>
    <w:rsid w:val="00637EAA"/>
    <w:rsid w:val="0064181D"/>
    <w:rsid w:val="00651BF4"/>
    <w:rsid w:val="00651E99"/>
    <w:rsid w:val="00673588"/>
    <w:rsid w:val="00691CE5"/>
    <w:rsid w:val="00692A98"/>
    <w:rsid w:val="0069760D"/>
    <w:rsid w:val="006C4F5E"/>
    <w:rsid w:val="006D5F22"/>
    <w:rsid w:val="00717372"/>
    <w:rsid w:val="007473B2"/>
    <w:rsid w:val="00752481"/>
    <w:rsid w:val="007543D9"/>
    <w:rsid w:val="007B6E30"/>
    <w:rsid w:val="00840BFF"/>
    <w:rsid w:val="00855C6C"/>
    <w:rsid w:val="008B1498"/>
    <w:rsid w:val="008C12AF"/>
    <w:rsid w:val="009062BC"/>
    <w:rsid w:val="00937146"/>
    <w:rsid w:val="009402CC"/>
    <w:rsid w:val="00941373"/>
    <w:rsid w:val="00990FDF"/>
    <w:rsid w:val="00991099"/>
    <w:rsid w:val="009A3010"/>
    <w:rsid w:val="009B7544"/>
    <w:rsid w:val="009C3B10"/>
    <w:rsid w:val="009D4362"/>
    <w:rsid w:val="00A3098C"/>
    <w:rsid w:val="00A637C3"/>
    <w:rsid w:val="00A81705"/>
    <w:rsid w:val="00AC14C5"/>
    <w:rsid w:val="00AC5EEC"/>
    <w:rsid w:val="00AD622C"/>
    <w:rsid w:val="00AE142C"/>
    <w:rsid w:val="00AE5D57"/>
    <w:rsid w:val="00AF2DF4"/>
    <w:rsid w:val="00B0097F"/>
    <w:rsid w:val="00B1074A"/>
    <w:rsid w:val="00B307EE"/>
    <w:rsid w:val="00B30B4C"/>
    <w:rsid w:val="00B43A91"/>
    <w:rsid w:val="00B45006"/>
    <w:rsid w:val="00B84D0B"/>
    <w:rsid w:val="00B86A8F"/>
    <w:rsid w:val="00BA4A8A"/>
    <w:rsid w:val="00BB01A4"/>
    <w:rsid w:val="00BE058D"/>
    <w:rsid w:val="00C14C56"/>
    <w:rsid w:val="00C328FC"/>
    <w:rsid w:val="00C52224"/>
    <w:rsid w:val="00C918CF"/>
    <w:rsid w:val="00CC3DE8"/>
    <w:rsid w:val="00D106A1"/>
    <w:rsid w:val="00D15FDD"/>
    <w:rsid w:val="00D6446A"/>
    <w:rsid w:val="00DB07C2"/>
    <w:rsid w:val="00DD17BC"/>
    <w:rsid w:val="00DD6762"/>
    <w:rsid w:val="00DF0C3F"/>
    <w:rsid w:val="00E05641"/>
    <w:rsid w:val="00E20BBE"/>
    <w:rsid w:val="00E6449A"/>
    <w:rsid w:val="00E86DF4"/>
    <w:rsid w:val="00EE6F99"/>
    <w:rsid w:val="00F02B0F"/>
    <w:rsid w:val="00F26150"/>
    <w:rsid w:val="00F272D6"/>
    <w:rsid w:val="00F470E2"/>
    <w:rsid w:val="00FA7D01"/>
    <w:rsid w:val="00FE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B63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446A"/>
    <w:rPr>
      <w:rFonts w:ascii="Courier New" w:eastAsia="Times New Roman" w:hAnsi="Courier New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7B6E30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B6E3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B6E30"/>
    <w:rPr>
      <w:rFonts w:ascii="Tahoma" w:eastAsia="Times New Roman" w:hAnsi="Tahoma" w:cs="Tahoma"/>
      <w:sz w:val="16"/>
      <w:szCs w:val="16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1B0EA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1B0EAE"/>
    <w:rPr>
      <w:rFonts w:ascii="Courier New" w:eastAsia="Times New Roman" w:hAnsi="Courier New" w:cs="Times New Roman"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1B0EA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1B0EAE"/>
    <w:rPr>
      <w:rFonts w:ascii="Courier New" w:eastAsia="Times New Roman" w:hAnsi="Courier New" w:cs="Times New Roman"/>
      <w:sz w:val="20"/>
      <w:szCs w:val="20"/>
      <w:lang w:val="es-ES_tradnl" w:eastAsia="es-ES"/>
    </w:rPr>
  </w:style>
  <w:style w:type="paragraph" w:styleId="Sinespaciado">
    <w:name w:val="No Spacing"/>
    <w:uiPriority w:val="1"/>
    <w:qFormat/>
    <w:rsid w:val="00717372"/>
    <w:rPr>
      <w:rFonts w:ascii="Courier New" w:eastAsia="Times New Roman" w:hAnsi="Courier New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172EB4"/>
    <w:pPr>
      <w:ind w:left="720"/>
      <w:contextualSpacing/>
    </w:pPr>
  </w:style>
  <w:style w:type="character" w:customStyle="1" w:styleId="contentpasted3">
    <w:name w:val="contentpasted3"/>
    <w:basedOn w:val="Fuentedeprrafopredeter"/>
    <w:rsid w:val="00E05641"/>
  </w:style>
  <w:style w:type="character" w:customStyle="1" w:styleId="UnresolvedMention">
    <w:name w:val="Unresolved Mention"/>
    <w:uiPriority w:val="99"/>
    <w:semiHidden/>
    <w:unhideWhenUsed/>
    <w:rsid w:val="00651BF4"/>
    <w:rPr>
      <w:color w:val="605E5C"/>
      <w:shd w:val="clear" w:color="auto" w:fill="E1DFDD"/>
    </w:rPr>
  </w:style>
  <w:style w:type="character" w:styleId="Refdecomentario">
    <w:name w:val="annotation reference"/>
    <w:uiPriority w:val="99"/>
    <w:semiHidden/>
    <w:unhideWhenUsed/>
    <w:rsid w:val="00B1074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074A"/>
  </w:style>
  <w:style w:type="character" w:customStyle="1" w:styleId="TextocomentarioCar">
    <w:name w:val="Texto comentario Car"/>
    <w:link w:val="Textocomentario"/>
    <w:uiPriority w:val="99"/>
    <w:semiHidden/>
    <w:rsid w:val="00B1074A"/>
    <w:rPr>
      <w:rFonts w:ascii="Courier New" w:eastAsia="Times New Roman" w:hAnsi="Courier New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074A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B1074A"/>
    <w:rPr>
      <w:rFonts w:ascii="Courier New" w:eastAsia="Times New Roman" w:hAnsi="Courier New"/>
      <w:b/>
      <w:bCs/>
      <w:lang w:val="es-ES_tradnl" w:eastAsia="es-ES"/>
    </w:rPr>
  </w:style>
  <w:style w:type="character" w:styleId="Hipervnculovisitado">
    <w:name w:val="FollowedHyperlink"/>
    <w:uiPriority w:val="99"/>
    <w:semiHidden/>
    <w:unhideWhenUsed/>
    <w:rsid w:val="00D6446A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transparencia.cl/PortalPdT/directorio-de-organismos-regulados/?org=AM014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ortaltransparencia.cl/PortalPdT/directorio-de-organismos-regulados/?org=AM01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portaltransparencia.cl/PortalPdT/directorio-de-organismos-regulados/?org=AM014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portaltransparencia.cl/PortalPdT/directorio-de-organismos-regulados/?org=AM014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C43C6-2C16-4BB4-9A83-E64D84B08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1043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2026-01-06T20:34:00Z</dcterms:created>
  <dcterms:modified xsi:type="dcterms:W3CDTF">2026-01-15T15:00:00Z</dcterms:modified>
</cp:coreProperties>
</file>